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360" w:firstLineChars="1600"/>
        <w:rPr>
          <w:rFonts w:hint="default" w:ascii="Times New Roman" w:hAnsi="Times New Roman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-203835</wp:posOffset>
            </wp:positionV>
            <wp:extent cx="1501140" cy="478790"/>
            <wp:effectExtent l="0" t="0" r="3810" b="16510"/>
            <wp:wrapNone/>
            <wp:docPr id="2" name="图片 2" descr="图片抬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抬头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314960</wp:posOffset>
                </wp:positionV>
                <wp:extent cx="6389370" cy="762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581660" y="471170"/>
                          <a:ext cx="6389370" cy="7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.05pt;margin-top:24.8pt;height:0.6pt;width:503.1pt;z-index:251658240;mso-width-relative:page;mso-height-relative:page;" filled="f" stroked="t" coordsize="21600,21600" o:gfxdata="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CxVw21gAAAAkBAAAPAAAA&#10;AAAAAAEAIAAAACIAAABkcnMvZG93bnJldi54bWxQSwECFAAUAAAACACHTuJA6jmN0N4BAAB7AwAA&#10;DgAAAAAAAAABACAAAAAlAQAAZHJzL2Uyb0RvYy54bWxQSwUGAAAAAAYABgBZAQAAdQ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cs="Times New Roman"/>
          <w:sz w:val="32"/>
          <w:szCs w:val="40"/>
          <w:lang w:val="en-US" w:eastAsia="zh-CN"/>
        </w:rPr>
        <w:t>科峰—发酵饲料专家</w:t>
      </w:r>
    </w:p>
    <w:p>
      <w:pPr>
        <w:ind w:firstLine="4160" w:firstLineChars="1300"/>
        <w:jc w:val="both"/>
        <w:rPr>
          <w:rFonts w:hint="eastAsia" w:ascii="Times New Roman" w:hAnsi="Times New Roman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40"/>
          <w:lang w:val="en-US" w:eastAsia="zh-CN"/>
        </w:rPr>
        <w:t>发酵饲料</w:t>
      </w:r>
    </w:p>
    <w:p>
      <w:pPr>
        <w:numPr>
          <w:ilvl w:val="0"/>
          <w:numId w:val="1"/>
        </w:numPr>
        <w:jc w:val="both"/>
        <w:rPr>
          <w:rFonts w:hint="eastAsia" w:ascii="Times New Roman" w:hAnsi="Times New Roman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40"/>
          <w:lang w:val="en-US" w:eastAsia="zh-CN"/>
        </w:rPr>
        <w:t>发酵饲料的作用机理</w:t>
      </w:r>
    </w:p>
    <w:p>
      <w:pPr>
        <w:numPr>
          <w:ilvl w:val="0"/>
          <w:numId w:val="2"/>
        </w:numPr>
        <w:ind w:firstLine="320" w:firstLineChars="100"/>
        <w:jc w:val="both"/>
        <w:rPr>
          <w:rFonts w:hint="eastAsia" w:ascii="Times New Roman" w:hAnsi="Times New Roman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40"/>
          <w:lang w:val="en-US" w:eastAsia="zh-CN"/>
        </w:rPr>
        <w:t>酵母细胞为动物胃肠道内有益微生物的生长和繁殖提供营养:为动物机体提供营养,补充常规饲料营养的不足。</w:t>
      </w:r>
    </w:p>
    <w:p>
      <w:pPr>
        <w:numPr>
          <w:ilvl w:val="0"/>
          <w:numId w:val="2"/>
        </w:numPr>
        <w:ind w:firstLine="320" w:firstLineChars="100"/>
        <w:jc w:val="both"/>
        <w:rPr>
          <w:rFonts w:hint="eastAsia" w:ascii="Times New Roman" w:hAnsi="Times New Roman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40"/>
          <w:lang w:val="en-US" w:eastAsia="zh-CN"/>
        </w:rPr>
        <w:t>酵母细胞壁中含有大量葡聚糖,有效吸附霉菌毒素,甘露寡糖通过激活巨噬细胞可以提高机体免疫力,改善动物的健康状态。</w:t>
      </w:r>
    </w:p>
    <w:p>
      <w:pPr>
        <w:numPr>
          <w:ilvl w:val="0"/>
          <w:numId w:val="2"/>
        </w:numPr>
        <w:ind w:firstLine="320" w:firstLineChars="100"/>
        <w:jc w:val="both"/>
        <w:rPr>
          <w:rFonts w:hint="eastAsia" w:ascii="Times New Roman" w:hAnsi="Times New Roman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40"/>
          <w:lang w:val="en-US" w:eastAsia="zh-CN"/>
        </w:rPr>
        <w:t>大量的活性酵母可以调节肠道菌群,维护胃肠道的微生态环境,促进健康。</w:t>
      </w:r>
    </w:p>
    <w:p>
      <w:pPr>
        <w:numPr>
          <w:ilvl w:val="0"/>
          <w:numId w:val="2"/>
        </w:numPr>
        <w:ind w:firstLine="320" w:firstLineChars="100"/>
        <w:jc w:val="both"/>
        <w:rPr>
          <w:rFonts w:hint="eastAsia" w:ascii="Times New Roman" w:hAnsi="Times New Roman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40"/>
          <w:lang w:val="en-US" w:eastAsia="zh-CN"/>
        </w:rPr>
        <w:t>由于含有大量的消化酶,从而提高饲料消化率和利用率,降低养殖成本。</w:t>
      </w:r>
    </w:p>
    <w:p>
      <w:pPr>
        <w:numPr>
          <w:ilvl w:val="0"/>
          <w:numId w:val="2"/>
        </w:numPr>
        <w:ind w:firstLine="320" w:firstLineChars="100"/>
        <w:jc w:val="both"/>
        <w:rPr>
          <w:rFonts w:hint="eastAsia" w:ascii="Times New Roman" w:hAnsi="Times New Roman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40"/>
          <w:lang w:val="en-US" w:eastAsia="zh-CN"/>
        </w:rPr>
        <w:t>由于富含维生素C、E，从而增强动物的抗应激能力。</w:t>
      </w:r>
    </w:p>
    <w:p>
      <w:pPr>
        <w:numPr>
          <w:ilvl w:val="0"/>
          <w:numId w:val="2"/>
        </w:numPr>
        <w:ind w:firstLine="320" w:firstLineChars="100"/>
        <w:jc w:val="both"/>
        <w:rPr>
          <w:rFonts w:hint="eastAsia" w:ascii="Times New Roman" w:hAnsi="Times New Roman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40"/>
          <w:lang w:val="en-US" w:eastAsia="zh-CN"/>
        </w:rPr>
        <w:t>通过除臭微生物的作用,大大减少氯气和氨气排放,改善,养殖环境。</w:t>
      </w:r>
    </w:p>
    <w:p>
      <w:pPr>
        <w:numPr>
          <w:ilvl w:val="0"/>
          <w:numId w:val="0"/>
        </w:numPr>
        <w:jc w:val="both"/>
        <w:rPr>
          <w:rFonts w:hint="eastAsia" w:ascii="Times New Roman" w:hAnsi="Times New Roman" w:cs="Times New Roman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ind w:firstLine="3840" w:firstLineChars="1200"/>
        <w:jc w:val="both"/>
        <w:rPr>
          <w:rFonts w:hint="eastAsia" w:ascii="Times New Roman" w:hAnsi="Times New Roman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40"/>
          <w:lang w:val="en-US" w:eastAsia="zh-CN"/>
        </w:rPr>
        <w:t>发酵饲料主要成分</w:t>
      </w:r>
    </w:p>
    <w:tbl>
      <w:tblPr>
        <w:tblStyle w:val="4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0"/>
        <w:gridCol w:w="3561"/>
        <w:gridCol w:w="3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36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36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消化酶，IU/g</w:t>
            </w:r>
          </w:p>
        </w:tc>
        <w:tc>
          <w:tcPr>
            <w:tcW w:w="356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36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36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有益菌数量，CFU/g</w:t>
            </w:r>
          </w:p>
        </w:tc>
        <w:tc>
          <w:tcPr>
            <w:tcW w:w="356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36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36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葡聚糖，%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36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36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≧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36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  <w:tc>
          <w:tcPr>
            <w:tcW w:w="356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36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36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≧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36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40亿</w:t>
            </w:r>
          </w:p>
        </w:tc>
        <w:tc>
          <w:tcPr>
            <w:tcW w:w="356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36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36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≧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36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粗蛋白，%</w:t>
            </w:r>
          </w:p>
        </w:tc>
        <w:tc>
          <w:tcPr>
            <w:tcW w:w="356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水分，%</w:t>
            </w:r>
          </w:p>
        </w:tc>
        <w:tc>
          <w:tcPr>
            <w:tcW w:w="356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灰分，%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36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≧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36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56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  <w:t>≦</w:t>
            </w:r>
            <w:r>
              <w:rPr>
                <w:rFonts w:hint="eastAsia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12</w:t>
            </w:r>
          </w:p>
        </w:tc>
        <w:tc>
          <w:tcPr>
            <w:tcW w:w="356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  <w:t>≦9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维生素B,mg/kg</w:t>
            </w:r>
          </w:p>
        </w:tc>
        <w:tc>
          <w:tcPr>
            <w:tcW w:w="356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维生素C,mg/kg</w:t>
            </w:r>
          </w:p>
        </w:tc>
        <w:tc>
          <w:tcPr>
            <w:tcW w:w="356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维生素E,mg/kg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36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≧150</w:t>
            </w:r>
          </w:p>
        </w:tc>
        <w:tc>
          <w:tcPr>
            <w:tcW w:w="356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36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≧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36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250</w:t>
            </w:r>
          </w:p>
        </w:tc>
        <w:tc>
          <w:tcPr>
            <w:tcW w:w="356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36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≧1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36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</w:tbl>
    <w:p>
      <w:pPr>
        <w:ind w:firstLine="560" w:firstLineChars="200"/>
        <w:jc w:val="left"/>
        <w:rPr>
          <w:rFonts w:hint="default" w:ascii="Times New Roman" w:hAnsi="Times New Roman" w:cs="Times New Roman"/>
          <w:sz w:val="28"/>
          <w:szCs w:val="36"/>
          <w:lang w:val="en-US" w:eastAsia="zh-CN"/>
        </w:rPr>
      </w:pPr>
    </w:p>
    <w:p>
      <w:pPr>
        <w:ind w:firstLine="560" w:firstLineChars="200"/>
        <w:jc w:val="left"/>
        <w:rPr>
          <w:rFonts w:hint="default" w:ascii="Times New Roman" w:hAnsi="Times New Roman" w:cs="Times New Roman"/>
          <w:sz w:val="28"/>
          <w:szCs w:val="36"/>
          <w:lang w:val="en-US" w:eastAsia="zh-CN"/>
        </w:rPr>
      </w:pPr>
    </w:p>
    <w:p>
      <w:pPr>
        <w:ind w:firstLine="560" w:firstLineChars="200"/>
        <w:jc w:val="left"/>
        <w:rPr>
          <w:rFonts w:hint="default" w:ascii="Times New Roman" w:hAnsi="Times New Roman" w:cs="Times New Roman"/>
          <w:sz w:val="28"/>
          <w:szCs w:val="36"/>
          <w:lang w:val="en-US" w:eastAsia="zh-CN"/>
        </w:rPr>
      </w:pPr>
    </w:p>
    <w:p>
      <w:pPr>
        <w:spacing w:line="240" w:lineRule="auto"/>
        <w:ind w:leftChars="100"/>
        <w:jc w:val="center"/>
        <w:rPr>
          <w:rFonts w:hint="default" w:ascii="Times New Roman" w:hAnsi="Times New Roman" w:cs="Times New Roman" w:eastAsiaTheme="minorEastAsia"/>
          <w:sz w:val="24"/>
          <w:szCs w:val="32"/>
          <w:lang w:val="en-US" w:eastAsia="zh-CN"/>
        </w:rPr>
      </w:pPr>
    </w:p>
    <w:p>
      <w:pPr>
        <w:ind w:firstLine="3360" w:firstLineChars="1600"/>
        <w:rPr>
          <w:rFonts w:hint="default" w:ascii="Times New Roman" w:hAnsi="Times New Roman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-203835</wp:posOffset>
            </wp:positionV>
            <wp:extent cx="1501140" cy="478790"/>
            <wp:effectExtent l="0" t="0" r="3810" b="16510"/>
            <wp:wrapNone/>
            <wp:docPr id="9" name="图片 9" descr="图片抬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图片抬头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314960</wp:posOffset>
                </wp:positionV>
                <wp:extent cx="6389370" cy="762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581660" y="471170"/>
                          <a:ext cx="6389370" cy="7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.05pt;margin-top:24.8pt;height:0.6pt;width:503.1pt;z-index:251660288;mso-width-relative:page;mso-height-relative:page;" filled="f" stroked="t" coordsize="21600,21600" o:gfxdata="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AsVcNtYAAAAJAQAADwAA&#10;AAAAAAABACAAAAAiAAAAZHJzL2Rvd25yZXYueG1sUEsBAhQAFAAAAAgAh07iQJwxdFXfAQAAfQMA&#10;AA4AAAAAAAAAAQAgAAAAJQEAAGRycy9lMm9Eb2MueG1sUEsFBgAAAAAGAAYAWQEAAHYFAAAAAA=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cs="Times New Roman"/>
          <w:sz w:val="32"/>
          <w:szCs w:val="40"/>
          <w:lang w:val="en-US" w:eastAsia="zh-CN"/>
        </w:rPr>
        <w:t>科峰—发酵饲料专家</w:t>
      </w:r>
    </w:p>
    <w:p>
      <w:pPr>
        <w:numPr>
          <w:ilvl w:val="0"/>
          <w:numId w:val="0"/>
        </w:numPr>
        <w:ind w:firstLine="3840" w:firstLineChars="1200"/>
        <w:jc w:val="both"/>
        <w:rPr>
          <w:rFonts w:hint="eastAsia" w:ascii="Times New Roman" w:hAnsi="Times New Roman" w:cs="Times New Roman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ind w:firstLine="3840" w:firstLineChars="1200"/>
        <w:jc w:val="both"/>
        <w:rPr>
          <w:rFonts w:hint="eastAsia" w:ascii="Times New Roman" w:hAnsi="Times New Roman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40"/>
          <w:lang w:val="en-US" w:eastAsia="zh-CN"/>
        </w:rPr>
        <w:t>乳仔猪的效果</w:t>
      </w:r>
    </w:p>
    <w:tbl>
      <w:tblPr>
        <w:tblStyle w:val="4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0"/>
        <w:gridCol w:w="7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356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36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36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改善指标</w:t>
            </w:r>
          </w:p>
        </w:tc>
        <w:tc>
          <w:tcPr>
            <w:tcW w:w="7122" w:type="dxa"/>
            <w:vAlign w:val="center"/>
          </w:tcPr>
          <w:p>
            <w:pPr>
              <w:ind w:firstLine="2800" w:firstLineChars="1000"/>
              <w:jc w:val="both"/>
              <w:rPr>
                <w:rFonts w:hint="default" w:ascii="Times New Roman" w:hAnsi="Times New Roman" w:cs="Times New Roman"/>
                <w:color w:val="000000" w:themeColor="text1"/>
                <w:sz w:val="28"/>
                <w:szCs w:val="36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36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饲喂阶段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35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36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36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36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仔猪教槽至保育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8"/>
                <w:szCs w:val="36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36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（约70天）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腹泻率</w:t>
            </w:r>
          </w:p>
        </w:tc>
        <w:tc>
          <w:tcPr>
            <w:tcW w:w="712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降低至25%—70%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36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日增重</w:t>
            </w:r>
          </w:p>
        </w:tc>
        <w:tc>
          <w:tcPr>
            <w:tcW w:w="712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增加50—100克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采食量</w:t>
            </w:r>
          </w:p>
        </w:tc>
        <w:tc>
          <w:tcPr>
            <w:tcW w:w="712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增加5%—10%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Times New Roman" w:hAnsi="Times New Roman" w:cs="Times New Roman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Times New Roman" w:hAnsi="Times New Roman" w:cs="Times New Roman"/>
          <w:sz w:val="28"/>
          <w:szCs w:val="36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222250</wp:posOffset>
            </wp:positionV>
            <wp:extent cx="6873240" cy="4399280"/>
            <wp:effectExtent l="0" t="0" r="3810" b="0"/>
            <wp:wrapThrough wrapText="bothSides">
              <wp:wrapPolygon>
                <wp:start x="0" y="0"/>
                <wp:lineTo x="0" y="21513"/>
                <wp:lineTo x="21552" y="21513"/>
                <wp:lineTo x="21552" y="0"/>
                <wp:lineTo x="0" y="0"/>
              </wp:wrapPolygon>
            </wp:wrapThrough>
            <wp:docPr id="11" name="图片 1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"/>
                    <pic:cNvPicPr>
                      <a:picLocks noChangeAspect="1"/>
                    </pic:cNvPicPr>
                  </pic:nvPicPr>
                  <pic:blipFill>
                    <a:blip r:embed="rId5"/>
                    <a:srcRect l="6025" t="626" r="1293" b="3960"/>
                    <a:stretch>
                      <a:fillRect/>
                    </a:stretch>
                  </pic:blipFill>
                  <pic:spPr>
                    <a:xfrm>
                      <a:off x="0" y="0"/>
                      <a:ext cx="6873240" cy="439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jc w:val="both"/>
        <w:rPr>
          <w:rFonts w:hint="eastAsia" w:ascii="Times New Roman" w:hAnsi="Times New Roman" w:cs="Times New Roman"/>
          <w:sz w:val="28"/>
          <w:szCs w:val="36"/>
          <w:lang w:val="en-US" w:eastAsia="zh-CN"/>
        </w:rPr>
      </w:pPr>
    </w:p>
    <w:p>
      <w:pPr>
        <w:ind w:firstLine="3360" w:firstLineChars="1600"/>
        <w:rPr>
          <w:rFonts w:hint="eastAsia" w:ascii="Times New Roman" w:hAnsi="Times New Roman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-203835</wp:posOffset>
            </wp:positionV>
            <wp:extent cx="1501140" cy="478790"/>
            <wp:effectExtent l="0" t="0" r="3810" b="16510"/>
            <wp:wrapNone/>
            <wp:docPr id="12" name="图片 12" descr="图片抬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图片抬头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314960</wp:posOffset>
                </wp:positionV>
                <wp:extent cx="6389370" cy="762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581660" y="471170"/>
                          <a:ext cx="6389370" cy="7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.05pt;margin-top:24.8pt;height:0.6pt;width:503.1pt;z-index:251664384;mso-width-relative:page;mso-height-relative:page;" filled="f" stroked="t" coordsize="21600,21600" o:gfxdata="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AsVcNtYAAAAJAQAADwAA&#10;AAAAAAABACAAAAAiAAAAZHJzL2Rvd25yZXYueG1sUEsBAhQAFAAAAAgAh07iQKonmjHfAQAAfQMA&#10;AA4AAAAAAAAAAQAgAAAAJQEAAGRycy9lMm9Eb2MueG1sUEsFBgAAAAAGAAYAWQEAAHYFAAAAAA=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cs="Times New Roman"/>
          <w:sz w:val="32"/>
          <w:szCs w:val="40"/>
          <w:lang w:val="en-US" w:eastAsia="zh-CN"/>
        </w:rPr>
        <w:t>科峰—发酵饲料专家</w:t>
      </w:r>
    </w:p>
    <w:p>
      <w:pPr>
        <w:numPr>
          <w:ilvl w:val="0"/>
          <w:numId w:val="0"/>
        </w:numPr>
        <w:ind w:firstLine="3840" w:firstLineChars="1200"/>
        <w:jc w:val="both"/>
        <w:rPr>
          <w:rFonts w:hint="eastAsia" w:ascii="Times New Roman" w:hAnsi="Times New Roman" w:cs="Times New Roman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ind w:firstLine="3840" w:firstLineChars="1200"/>
        <w:jc w:val="both"/>
        <w:rPr>
          <w:rFonts w:hint="eastAsia" w:ascii="Times New Roman" w:hAnsi="Times New Roman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40"/>
          <w:lang w:val="en-US" w:eastAsia="zh-CN"/>
        </w:rPr>
        <w:t>中、大猪的效果</w:t>
      </w:r>
    </w:p>
    <w:tbl>
      <w:tblPr>
        <w:tblStyle w:val="4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0"/>
        <w:gridCol w:w="7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356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36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36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改善指标</w:t>
            </w:r>
          </w:p>
        </w:tc>
        <w:tc>
          <w:tcPr>
            <w:tcW w:w="7122" w:type="dxa"/>
            <w:vAlign w:val="center"/>
          </w:tcPr>
          <w:p>
            <w:pPr>
              <w:ind w:firstLine="2800" w:firstLineChars="1000"/>
              <w:jc w:val="both"/>
              <w:rPr>
                <w:rFonts w:hint="default" w:ascii="Times New Roman" w:hAnsi="Times New Roman" w:cs="Times New Roman"/>
                <w:color w:val="000000" w:themeColor="text1"/>
                <w:sz w:val="28"/>
                <w:szCs w:val="36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36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饲喂阶段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5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36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2" w:type="dxa"/>
            <w:vAlign w:val="center"/>
          </w:tcPr>
          <w:p>
            <w:pPr>
              <w:ind w:firstLine="2800" w:firstLineChars="1000"/>
              <w:jc w:val="both"/>
              <w:rPr>
                <w:rFonts w:hint="default" w:ascii="宋体" w:hAnsi="宋体" w:eastAsia="宋体" w:cs="宋体"/>
                <w:color w:val="000000" w:themeColor="text1"/>
                <w:sz w:val="28"/>
                <w:szCs w:val="36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36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中、大猪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采食量</w:t>
            </w:r>
          </w:p>
        </w:tc>
        <w:tc>
          <w:tcPr>
            <w:tcW w:w="712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增加5%—10%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猪场氨气</w:t>
            </w:r>
          </w:p>
        </w:tc>
        <w:tc>
          <w:tcPr>
            <w:tcW w:w="712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显著减少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出栏天数</w:t>
            </w:r>
          </w:p>
        </w:tc>
        <w:tc>
          <w:tcPr>
            <w:tcW w:w="712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提前3—5天出栏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肉质</w:t>
            </w:r>
          </w:p>
        </w:tc>
        <w:tc>
          <w:tcPr>
            <w:tcW w:w="7122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香、鲜嫩、口感好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肉色</w:t>
            </w:r>
          </w:p>
        </w:tc>
        <w:tc>
          <w:tcPr>
            <w:tcW w:w="7122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变红、好看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滴水损失</w:t>
            </w:r>
          </w:p>
        </w:tc>
        <w:tc>
          <w:tcPr>
            <w:tcW w:w="7122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显著降低、下降41.78%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总抗氧化能力</w:t>
            </w:r>
          </w:p>
        </w:tc>
        <w:tc>
          <w:tcPr>
            <w:tcW w:w="7122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提高128.6%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Times New Roman" w:hAnsi="Times New Roman" w:cs="Times New Roman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Times New Roman" w:hAnsi="Times New Roman" w:cs="Times New Roman"/>
          <w:sz w:val="28"/>
          <w:szCs w:val="36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50800</wp:posOffset>
            </wp:positionV>
            <wp:extent cx="6685915" cy="3799840"/>
            <wp:effectExtent l="0" t="0" r="635" b="0"/>
            <wp:wrapTight wrapText="bothSides">
              <wp:wrapPolygon>
                <wp:start x="0" y="0"/>
                <wp:lineTo x="0" y="21441"/>
                <wp:lineTo x="21541" y="21441"/>
                <wp:lineTo x="21541" y="0"/>
                <wp:lineTo x="0" y="0"/>
              </wp:wrapPolygon>
            </wp:wrapTight>
            <wp:docPr id="14" name="图片 1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2"/>
                    <pic:cNvPicPr>
                      <a:picLocks noChangeAspect="1"/>
                    </pic:cNvPicPr>
                  </pic:nvPicPr>
                  <pic:blipFill>
                    <a:blip r:embed="rId6"/>
                    <a:srcRect l="2102" t="7353" r="867" b="17668"/>
                    <a:stretch>
                      <a:fillRect/>
                    </a:stretch>
                  </pic:blipFill>
                  <pic:spPr>
                    <a:xfrm>
                      <a:off x="0" y="0"/>
                      <a:ext cx="6685915" cy="379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3360" w:firstLineChars="1600"/>
        <w:rPr>
          <w:rFonts w:hint="eastAsia" w:ascii="Times New Roman" w:hAnsi="Times New Roman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-203835</wp:posOffset>
            </wp:positionV>
            <wp:extent cx="1501140" cy="478790"/>
            <wp:effectExtent l="0" t="0" r="3810" b="16510"/>
            <wp:wrapNone/>
            <wp:docPr id="15" name="图片 15" descr="图片抬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图片抬头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314960</wp:posOffset>
                </wp:positionV>
                <wp:extent cx="6389370" cy="762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581660" y="471170"/>
                          <a:ext cx="6389370" cy="7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.05pt;margin-top:24.8pt;height:0.6pt;width:503.1pt;z-index:251672576;mso-width-relative:page;mso-height-relative:page;" filled="f" stroked="t" coordsize="21600,21600" o:gfxdata="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AsVcNtYAAAAJAQAADwAA&#10;AAAAAAABACAAAAAiAAAAZHJzL2Rvd25yZXYueG1sUEsBAhQAFAAAAAgAh07iQPAdqJzfAQAAfQMA&#10;AA4AAAAAAAAAAQAgAAAAJQEAAGRycy9lMm9Eb2MueG1sUEsFBgAAAAAGAAYAWQEAAHYFAAAAAA=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cs="Times New Roman"/>
          <w:sz w:val="32"/>
          <w:szCs w:val="40"/>
          <w:lang w:val="en-US" w:eastAsia="zh-CN"/>
        </w:rPr>
        <w:t>科峰—发酵饲料专家</w:t>
      </w:r>
    </w:p>
    <w:p>
      <w:pPr>
        <w:numPr>
          <w:ilvl w:val="0"/>
          <w:numId w:val="0"/>
        </w:numPr>
        <w:jc w:val="both"/>
        <w:rPr>
          <w:rFonts w:hint="eastAsia" w:ascii="Times New Roman" w:hAnsi="Times New Roman" w:cs="Times New Roman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ind w:firstLine="281" w:firstLineChars="100"/>
        <w:jc w:val="both"/>
        <w:rPr>
          <w:rFonts w:hint="eastAsia" w:ascii="Times New Roman" w:hAnsi="Times New Roman" w:cs="Times New Roman"/>
          <w:b/>
          <w:bCs/>
          <w:sz w:val="28"/>
          <w:szCs w:val="36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8"/>
          <w:szCs w:val="36"/>
          <w:lang w:val="en-US" w:eastAsia="zh-CN"/>
        </w:rPr>
        <w:t>本公司发酵饲料产品性状、适用范围、用法用量、包装与储</w:t>
      </w:r>
      <w:bookmarkStart w:id="0" w:name="_GoBack"/>
      <w:bookmarkEnd w:id="0"/>
      <w:r>
        <w:rPr>
          <w:rFonts w:hint="eastAsia" w:ascii="Times New Roman" w:hAnsi="Times New Roman" w:cs="Times New Roman"/>
          <w:b/>
          <w:bCs/>
          <w:sz w:val="28"/>
          <w:szCs w:val="36"/>
          <w:lang w:val="en-US" w:eastAsia="zh-CN"/>
        </w:rPr>
        <w:t>存、保质期</w:t>
      </w:r>
    </w:p>
    <w:p>
      <w:pPr>
        <w:numPr>
          <w:ilvl w:val="0"/>
          <w:numId w:val="0"/>
        </w:numPr>
        <w:ind w:firstLine="281" w:firstLineChars="100"/>
        <w:jc w:val="both"/>
        <w:rPr>
          <w:rFonts w:hint="eastAsia" w:ascii="Times New Roman" w:hAnsi="Times New Roman" w:cs="Times New Roman"/>
          <w:b/>
          <w:bCs/>
          <w:sz w:val="28"/>
          <w:szCs w:val="36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8"/>
          <w:szCs w:val="36"/>
          <w:lang w:val="en-US" w:eastAsia="zh-CN"/>
        </w:rPr>
        <w:t>产 品 性 状:浅黄色粉末</w:t>
      </w:r>
    </w:p>
    <w:p>
      <w:pPr>
        <w:numPr>
          <w:ilvl w:val="0"/>
          <w:numId w:val="0"/>
        </w:numPr>
        <w:ind w:firstLine="281" w:firstLineChars="100"/>
        <w:jc w:val="both"/>
        <w:rPr>
          <w:rFonts w:hint="eastAsia" w:ascii="Times New Roman" w:hAnsi="Times New Roman" w:cs="Times New Roman"/>
          <w:b/>
          <w:bCs/>
          <w:sz w:val="28"/>
          <w:szCs w:val="36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8"/>
          <w:szCs w:val="36"/>
          <w:lang w:val="en-US" w:eastAsia="zh-CN"/>
        </w:rPr>
        <w:t>适 用 范 围:畜禽、水产、反刍动物。</w:t>
      </w:r>
    </w:p>
    <w:p>
      <w:pPr>
        <w:numPr>
          <w:ilvl w:val="0"/>
          <w:numId w:val="0"/>
        </w:numPr>
        <w:ind w:firstLine="281" w:firstLineChars="100"/>
        <w:jc w:val="both"/>
        <w:rPr>
          <w:rFonts w:hint="eastAsia" w:ascii="Times New Roman" w:hAnsi="Times New Roman" w:cs="Times New Roman"/>
          <w:b/>
          <w:bCs/>
          <w:sz w:val="28"/>
          <w:szCs w:val="36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8"/>
          <w:szCs w:val="36"/>
          <w:lang w:val="en-US" w:eastAsia="zh-CN"/>
        </w:rPr>
        <w:t>用 法 用 量:在饲料中充分混匀,每吨饲料建议添加量</w:t>
      </w:r>
    </w:p>
    <w:p>
      <w:pPr>
        <w:numPr>
          <w:ilvl w:val="0"/>
          <w:numId w:val="0"/>
        </w:numPr>
        <w:jc w:val="both"/>
        <w:rPr>
          <w:rFonts w:hint="eastAsia" w:ascii="Times New Roman" w:hAnsi="Times New Roman" w:cs="Times New Roman"/>
          <w:b/>
          <w:bCs/>
          <w:sz w:val="28"/>
          <w:szCs w:val="36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8"/>
          <w:szCs w:val="36"/>
          <w:lang w:val="en-US" w:eastAsia="zh-CN"/>
        </w:rPr>
        <w:t xml:space="preserve">           仔猪及中、大猪10%</w:t>
      </w:r>
    </w:p>
    <w:p>
      <w:pPr>
        <w:numPr>
          <w:ilvl w:val="0"/>
          <w:numId w:val="0"/>
        </w:numPr>
        <w:jc w:val="both"/>
        <w:rPr>
          <w:rFonts w:hint="eastAsia" w:ascii="Times New Roman" w:hAnsi="Times New Roman" w:cs="Times New Roman"/>
          <w:b/>
          <w:bCs/>
          <w:sz w:val="28"/>
          <w:szCs w:val="36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8"/>
          <w:szCs w:val="36"/>
          <w:lang w:val="en-US" w:eastAsia="zh-CN"/>
        </w:rPr>
        <w:t xml:space="preserve">           母猪3-8公斤</w:t>
      </w:r>
    </w:p>
    <w:p>
      <w:pPr>
        <w:numPr>
          <w:ilvl w:val="0"/>
          <w:numId w:val="0"/>
        </w:numPr>
        <w:jc w:val="both"/>
        <w:rPr>
          <w:rFonts w:hint="eastAsia" w:ascii="Times New Roman" w:hAnsi="Times New Roman" w:cs="Times New Roman"/>
          <w:b/>
          <w:bCs/>
          <w:sz w:val="28"/>
          <w:szCs w:val="36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8"/>
          <w:szCs w:val="36"/>
          <w:lang w:val="en-US" w:eastAsia="zh-CN"/>
        </w:rPr>
        <w:t xml:space="preserve">           水产动物5-8公斤</w:t>
      </w:r>
    </w:p>
    <w:p>
      <w:pPr>
        <w:numPr>
          <w:ilvl w:val="0"/>
          <w:numId w:val="0"/>
        </w:numPr>
        <w:jc w:val="both"/>
        <w:rPr>
          <w:rFonts w:hint="eastAsia" w:ascii="Times New Roman" w:hAnsi="Times New Roman" w:cs="Times New Roman"/>
          <w:b/>
          <w:bCs/>
          <w:sz w:val="28"/>
          <w:szCs w:val="36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8"/>
          <w:szCs w:val="36"/>
          <w:lang w:val="en-US" w:eastAsia="zh-CN"/>
        </w:rPr>
        <w:t xml:space="preserve">           奶牛200-300克/头天</w:t>
      </w:r>
    </w:p>
    <w:p>
      <w:pPr>
        <w:numPr>
          <w:ilvl w:val="0"/>
          <w:numId w:val="0"/>
        </w:numPr>
        <w:jc w:val="both"/>
        <w:rPr>
          <w:rFonts w:hint="eastAsia" w:ascii="Times New Roman" w:hAnsi="Times New Roman" w:cs="Times New Roman"/>
          <w:b/>
          <w:bCs/>
          <w:sz w:val="28"/>
          <w:szCs w:val="36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8"/>
          <w:szCs w:val="36"/>
          <w:lang w:val="en-US" w:eastAsia="zh-CN"/>
        </w:rPr>
        <w:t xml:space="preserve">           家禽2-3公斤</w:t>
      </w:r>
    </w:p>
    <w:p>
      <w:pPr>
        <w:numPr>
          <w:ilvl w:val="0"/>
          <w:numId w:val="0"/>
        </w:numPr>
        <w:ind w:firstLine="281" w:firstLineChars="100"/>
        <w:jc w:val="both"/>
        <w:rPr>
          <w:rFonts w:hint="eastAsia" w:ascii="Times New Roman" w:hAnsi="Times New Roman" w:cs="Times New Roman"/>
          <w:b/>
          <w:bCs/>
          <w:sz w:val="28"/>
          <w:szCs w:val="36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8"/>
          <w:szCs w:val="36"/>
          <w:lang w:val="en-US" w:eastAsia="zh-CN"/>
        </w:rPr>
        <w:t>包 装:10公斤/桶、50公斤/包。</w:t>
      </w:r>
    </w:p>
    <w:p>
      <w:pPr>
        <w:numPr>
          <w:ilvl w:val="0"/>
          <w:numId w:val="0"/>
        </w:numPr>
        <w:ind w:firstLine="281" w:firstLineChars="100"/>
        <w:jc w:val="both"/>
        <w:rPr>
          <w:rFonts w:hint="eastAsia" w:ascii="Times New Roman" w:hAnsi="Times New Roman" w:cs="Times New Roman"/>
          <w:b/>
          <w:bCs/>
          <w:sz w:val="28"/>
          <w:szCs w:val="36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8"/>
          <w:szCs w:val="36"/>
          <w:lang w:val="en-US" w:eastAsia="zh-CN"/>
        </w:rPr>
        <w:t>储 存:室温储存,避免阳光直射和潮湿。</w:t>
      </w:r>
    </w:p>
    <w:p>
      <w:pPr>
        <w:numPr>
          <w:ilvl w:val="0"/>
          <w:numId w:val="0"/>
        </w:numPr>
        <w:ind w:firstLine="281" w:firstLineChars="100"/>
        <w:jc w:val="both"/>
        <w:rPr>
          <w:rFonts w:hint="eastAsia" w:ascii="Times New Roman" w:hAnsi="Times New Roman" w:cs="Times New Roman"/>
          <w:b/>
          <w:bCs/>
          <w:sz w:val="28"/>
          <w:szCs w:val="36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8"/>
          <w:szCs w:val="36"/>
          <w:lang w:val="en-US" w:eastAsia="zh-CN"/>
        </w:rPr>
        <w:t xml:space="preserve">保 质 期:9个月 </w:t>
      </w:r>
    </w:p>
    <w:p>
      <w:pPr>
        <w:numPr>
          <w:ilvl w:val="0"/>
          <w:numId w:val="0"/>
        </w:numPr>
        <w:ind w:firstLine="281" w:firstLineChars="100"/>
        <w:jc w:val="both"/>
        <w:rPr>
          <w:rFonts w:hint="eastAsia" w:ascii="Times New Roman" w:hAnsi="Times New Roman" w:cs="Times New Roman"/>
          <w:b/>
          <w:bCs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ind w:firstLine="281" w:firstLineChars="100"/>
        <w:jc w:val="both"/>
        <w:rPr>
          <w:rFonts w:hint="eastAsia" w:ascii="Times New Roman" w:hAnsi="Times New Roman" w:cs="Times New Roman"/>
          <w:b/>
          <w:bCs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ind w:firstLine="281" w:firstLineChars="100"/>
        <w:jc w:val="both"/>
        <w:rPr>
          <w:rFonts w:hint="eastAsia" w:ascii="Times New Roman" w:hAnsi="Times New Roman" w:cs="Times New Roman"/>
          <w:b/>
          <w:bCs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ind w:firstLine="281" w:firstLineChars="100"/>
        <w:jc w:val="both"/>
        <w:rPr>
          <w:rFonts w:hint="eastAsia" w:ascii="Times New Roman" w:hAnsi="Times New Roman" w:cs="Times New Roman"/>
          <w:b/>
          <w:bCs/>
          <w:sz w:val="28"/>
          <w:szCs w:val="36"/>
          <w:lang w:val="en-US" w:eastAsia="zh-CN"/>
        </w:rPr>
      </w:pPr>
    </w:p>
    <w:p>
      <w:pPr>
        <w:ind w:left="5865" w:leftChars="2793" w:firstLine="6311" w:firstLineChars="2254"/>
        <w:jc w:val="left"/>
        <w:rPr>
          <w:rFonts w:hint="eastAsia" w:cstheme="minorBidi"/>
          <w:b/>
          <w:bCs/>
          <w:kern w:val="2"/>
          <w:sz w:val="24"/>
          <w:szCs w:val="32"/>
          <w:lang w:val="en-US" w:eastAsia="zh-CN" w:bidi="ar-SA"/>
        </w:rPr>
      </w:pP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 xml:space="preserve"> </w:t>
      </w:r>
      <w:r>
        <w:rPr>
          <w:rFonts w:hint="eastAsia" w:cstheme="minorBidi"/>
          <w:kern w:val="2"/>
          <w:sz w:val="24"/>
          <w:szCs w:val="32"/>
          <w:lang w:val="en-US" w:eastAsia="zh-CN" w:bidi="ar-SA"/>
        </w:rPr>
        <w:t xml:space="preserve">  </w:t>
      </w:r>
      <w:r>
        <w:rPr>
          <w:rFonts w:hint="eastAsia" w:cstheme="minorBidi"/>
          <w:b/>
          <w:bCs/>
          <w:kern w:val="2"/>
          <w:sz w:val="24"/>
          <w:szCs w:val="32"/>
          <w:lang w:val="en-US" w:eastAsia="zh-CN" w:bidi="ar-SA"/>
        </w:rPr>
        <w:t>浙江科峰生物技术有限公司（技术服务部）</w:t>
      </w:r>
    </w:p>
    <w:p>
      <w:pPr>
        <w:ind w:left="6264" w:hanging="6264" w:hangingChars="2600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4"/>
          <w:szCs w:val="32"/>
          <w:lang w:val="en-US" w:eastAsia="zh-CN" w:bidi="ar-SA"/>
        </w:rPr>
        <w:t xml:space="preserve">                                                                                              制做人：李吉要  日期： 2018 10. 22</w:t>
      </w:r>
    </w:p>
    <w:p>
      <w:pPr>
        <w:numPr>
          <w:ilvl w:val="0"/>
          <w:numId w:val="0"/>
        </w:numPr>
        <w:jc w:val="both"/>
        <w:rPr>
          <w:rFonts w:hint="eastAsia" w:ascii="Times New Roman" w:hAnsi="Times New Roman" w:cs="Times New Roman"/>
          <w:sz w:val="28"/>
          <w:szCs w:val="36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42CCD0"/>
    <w:multiLevelType w:val="singleLevel"/>
    <w:tmpl w:val="FE42CCD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9EC2AE2"/>
    <w:multiLevelType w:val="singleLevel"/>
    <w:tmpl w:val="19EC2AE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B16BE"/>
    <w:rsid w:val="1EF72323"/>
    <w:rsid w:val="4FA13788"/>
    <w:rsid w:val="56BF4D6E"/>
    <w:rsid w:val="642B16BE"/>
    <w:rsid w:val="6D535020"/>
    <w:rsid w:val="7EAA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Table Paragraph"/>
    <w:basedOn w:val="1"/>
    <w:unhideWhenUsed/>
    <w:qFormat/>
    <w:uiPriority w:val="1"/>
    <w:pPr>
      <w:spacing w:beforeLines="0" w:afterLines="0"/>
    </w:pPr>
    <w:rPr>
      <w:rFonts w:hint="default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2018-10-11T01:02:00Z</dcterms:created>
  <dc:creator>晴天｀小木子先生</dc:creator>
  <cp:lastModifiedBy>晴天｀小木子先生</cp:lastModifiedBy>
  <cp:lastPrinted>2018-10-22T08:39:00Z</cp:lastPrinted>
  <dcterms:modified xsi:type="dcterms:W3CDTF">2018-10-22T08:47:53Z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